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72ABD6" w14:textId="77777777" w:rsidR="00DF5DC7" w:rsidRPr="007F51F4" w:rsidRDefault="0031672D" w:rsidP="00BA7DA9">
      <w:pPr>
        <w:spacing w:line="360" w:lineRule="auto"/>
        <w:rPr>
          <w:rFonts w:ascii="Calibri" w:hAnsi="Calibri" w:cs="Calibri"/>
          <w:b/>
          <w:iCs/>
          <w:sz w:val="28"/>
        </w:rPr>
      </w:pPr>
      <w:r w:rsidRPr="007F51F4">
        <w:rPr>
          <w:rFonts w:ascii="Calibri" w:hAnsi="Calibri" w:cs="Calibri"/>
          <w:b/>
          <w:iCs/>
          <w:sz w:val="28"/>
        </w:rPr>
        <w:t>Supplementa</w:t>
      </w:r>
      <w:r w:rsidRPr="007F51F4">
        <w:rPr>
          <w:rFonts w:ascii="Calibri" w:hAnsi="Calibri" w:cs="Calibri" w:hint="eastAsia"/>
          <w:b/>
          <w:iCs/>
          <w:sz w:val="28"/>
        </w:rPr>
        <w:t>r</w:t>
      </w:r>
      <w:r w:rsidRPr="007F51F4">
        <w:rPr>
          <w:rFonts w:ascii="Calibri" w:hAnsi="Calibri" w:cs="Calibri"/>
          <w:b/>
          <w:iCs/>
          <w:sz w:val="28"/>
        </w:rPr>
        <w:t>y</w:t>
      </w:r>
      <w:r w:rsidR="0047493D" w:rsidRPr="007F51F4">
        <w:rPr>
          <w:rFonts w:ascii="Calibri" w:hAnsi="Calibri" w:cs="Calibri"/>
          <w:b/>
          <w:iCs/>
          <w:sz w:val="28"/>
        </w:rPr>
        <w:t xml:space="preserve"> data</w:t>
      </w:r>
    </w:p>
    <w:p w14:paraId="3036F89A" w14:textId="77777777" w:rsidR="00BA7DA9" w:rsidRPr="00DF5DC7" w:rsidRDefault="00BA7DA9" w:rsidP="00BA7DA9">
      <w:pPr>
        <w:spacing w:line="360" w:lineRule="auto"/>
        <w:rPr>
          <w:rFonts w:ascii="Calibri" w:hAnsi="Calibri" w:cs="Calibri"/>
          <w:b/>
          <w:i/>
          <w:sz w:val="28"/>
        </w:rPr>
      </w:pPr>
      <w:r w:rsidRPr="00BA7DA9">
        <w:rPr>
          <w:rFonts w:ascii="Calibri" w:hAnsi="Calibri" w:cs="Calibri"/>
          <w:i/>
          <w:sz w:val="24"/>
        </w:rPr>
        <w:t>Quantitative measurement of hair diameter diversity as a diagnostic indicator of androgenetic alopecia: A cross-sectional study</w:t>
      </w:r>
    </w:p>
    <w:p w14:paraId="47EBE6D7" w14:textId="77777777" w:rsidR="00BA7DA9" w:rsidRPr="00BA7DA9" w:rsidRDefault="00BA7DA9" w:rsidP="00BA7DA9">
      <w:pPr>
        <w:spacing w:line="360" w:lineRule="auto"/>
        <w:rPr>
          <w:rFonts w:ascii="Calibri" w:hAnsi="Calibri" w:cs="Calibri"/>
          <w:i/>
          <w:sz w:val="24"/>
        </w:rPr>
      </w:pPr>
      <w:r w:rsidRPr="00BA7DA9">
        <w:rPr>
          <w:rFonts w:ascii="Calibri" w:hAnsi="Calibri" w:cs="Calibri"/>
          <w:i/>
          <w:sz w:val="24"/>
        </w:rPr>
        <w:t>Hee Ung Park</w:t>
      </w:r>
      <w:r w:rsidRPr="00BA7DA9">
        <w:rPr>
          <w:rFonts w:ascii="Calibri" w:hAnsi="Calibri" w:cs="Calibri"/>
          <w:i/>
          <w:sz w:val="24"/>
          <w:vertAlign w:val="superscript"/>
        </w:rPr>
        <w:t>1</w:t>
      </w:r>
      <w:r w:rsidRPr="00BA7DA9">
        <w:rPr>
          <w:rFonts w:ascii="Calibri" w:hAnsi="Calibri" w:cs="Calibri"/>
          <w:i/>
          <w:sz w:val="24"/>
        </w:rPr>
        <w:t>, Kyung Bae Chung</w:t>
      </w:r>
      <w:r w:rsidRPr="00BA7DA9">
        <w:rPr>
          <w:rFonts w:ascii="Calibri" w:hAnsi="Calibri" w:cs="Calibri"/>
          <w:i/>
          <w:sz w:val="24"/>
          <w:vertAlign w:val="superscript"/>
        </w:rPr>
        <w:t>2</w:t>
      </w:r>
      <w:r w:rsidR="00C33AC4">
        <w:rPr>
          <w:rFonts w:ascii="Calibri" w:hAnsi="Calibri" w:cs="Calibri"/>
          <w:i/>
          <w:sz w:val="24"/>
        </w:rPr>
        <w:t>,</w:t>
      </w:r>
      <w:r w:rsidRPr="00BA7DA9">
        <w:rPr>
          <w:rFonts w:ascii="Calibri" w:hAnsi="Calibri" w:cs="Calibri"/>
          <w:i/>
          <w:sz w:val="24"/>
        </w:rPr>
        <w:t xml:space="preserve"> Do-Young Kim</w:t>
      </w:r>
      <w:r w:rsidRPr="00BA7DA9">
        <w:rPr>
          <w:rFonts w:ascii="Calibri" w:hAnsi="Calibri" w:cs="Calibri"/>
          <w:i/>
          <w:sz w:val="24"/>
          <w:vertAlign w:val="superscript"/>
        </w:rPr>
        <w:t>2</w:t>
      </w:r>
      <w:r w:rsidRPr="00BA7DA9">
        <w:rPr>
          <w:rFonts w:ascii="Calibri" w:hAnsi="Calibri" w:cs="Calibri"/>
          <w:i/>
          <w:sz w:val="24"/>
        </w:rPr>
        <w:t>*</w:t>
      </w:r>
    </w:p>
    <w:p w14:paraId="4003971A" w14:textId="77777777" w:rsidR="00BA7DA9" w:rsidRPr="00BA7DA9" w:rsidRDefault="00BA7DA9" w:rsidP="00BA7DA9">
      <w:pPr>
        <w:spacing w:line="360" w:lineRule="auto"/>
        <w:rPr>
          <w:rFonts w:ascii="Calibri" w:hAnsi="Calibri" w:cs="Calibri"/>
          <w:i/>
          <w:sz w:val="24"/>
        </w:rPr>
      </w:pPr>
      <w:r w:rsidRPr="00BA7DA9">
        <w:rPr>
          <w:rFonts w:ascii="Calibri" w:hAnsi="Calibri" w:cs="Calibri"/>
          <w:i/>
          <w:sz w:val="24"/>
          <w:vertAlign w:val="superscript"/>
        </w:rPr>
        <w:t>1</w:t>
      </w:r>
      <w:r w:rsidRPr="00BA7DA9">
        <w:rPr>
          <w:rFonts w:ascii="Calibri" w:hAnsi="Calibri" w:cs="Calibri"/>
          <w:i/>
          <w:sz w:val="24"/>
        </w:rPr>
        <w:t>Department of Dermatology, Hanyang University Medical Center, Myongji Hospital, Goyang, Republic of Korea</w:t>
      </w:r>
    </w:p>
    <w:p w14:paraId="64C8A7D8" w14:textId="77777777" w:rsidR="00BA7DA9" w:rsidRPr="00BA7DA9" w:rsidRDefault="00BA7DA9" w:rsidP="00BA7DA9">
      <w:pPr>
        <w:spacing w:line="360" w:lineRule="auto"/>
        <w:rPr>
          <w:rFonts w:ascii="Calibri" w:hAnsi="Calibri" w:cs="Calibri"/>
          <w:i/>
          <w:sz w:val="24"/>
        </w:rPr>
      </w:pPr>
      <w:r w:rsidRPr="00BA7DA9">
        <w:rPr>
          <w:rFonts w:ascii="Calibri" w:hAnsi="Calibri" w:cs="Calibri"/>
          <w:i/>
          <w:sz w:val="24"/>
          <w:vertAlign w:val="superscript"/>
        </w:rPr>
        <w:t>2</w:t>
      </w:r>
      <w:r w:rsidRPr="00BA7DA9">
        <w:rPr>
          <w:rFonts w:ascii="Calibri" w:hAnsi="Calibri" w:cs="Calibri"/>
          <w:i/>
          <w:sz w:val="24"/>
        </w:rPr>
        <w:t>Department of Dermatology, Cutaneous Biology Research Institute, Yonsei University College of Medicine, Seoul, Republic of Korea</w:t>
      </w:r>
    </w:p>
    <w:p w14:paraId="00DBFCCA" w14:textId="77777777" w:rsidR="00BA7DA9" w:rsidRPr="00BA7DA9" w:rsidRDefault="00BA7DA9" w:rsidP="00BA7DA9">
      <w:pPr>
        <w:spacing w:line="360" w:lineRule="auto"/>
        <w:rPr>
          <w:rFonts w:ascii="Calibri" w:hAnsi="Calibri" w:cs="Calibri"/>
          <w:sz w:val="24"/>
        </w:rPr>
      </w:pPr>
    </w:p>
    <w:p w14:paraId="127D7367" w14:textId="77777777" w:rsidR="00BA7DA9" w:rsidRPr="00BA7DA9" w:rsidRDefault="00CB7680" w:rsidP="00BA7DA9">
      <w:pPr>
        <w:spacing w:line="360" w:lineRule="auto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Supplemental f</w:t>
      </w:r>
      <w:r w:rsidR="00BA7DA9" w:rsidRPr="00BA7DA9">
        <w:rPr>
          <w:rFonts w:ascii="Calibri" w:hAnsi="Calibri" w:cs="Calibri"/>
          <w:b/>
          <w:sz w:val="24"/>
        </w:rPr>
        <w:t>igure 1. Comparison of hair diameter between retrospective and prospective groups</w:t>
      </w:r>
    </w:p>
    <w:p w14:paraId="71C0FBBA" w14:textId="75281394" w:rsidR="00BA7DA9" w:rsidRPr="00BA7DA9" w:rsidRDefault="00160205" w:rsidP="00BA7DA9">
      <w:pPr>
        <w:spacing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pict w14:anchorId="169E6F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268.6pt">
            <v:imagedata r:id="rId6" o:title="Mendeley supplementary figure 1"/>
          </v:shape>
        </w:pict>
      </w:r>
    </w:p>
    <w:p w14:paraId="1385F497" w14:textId="55B77A1B" w:rsidR="00BA7DA9" w:rsidRPr="00C3165F" w:rsidRDefault="00BA7DA9" w:rsidP="00BA7DA9">
      <w:pPr>
        <w:spacing w:line="360" w:lineRule="auto"/>
        <w:rPr>
          <w:rFonts w:ascii="Calibri" w:hAnsi="Calibri" w:cs="Calibri"/>
          <w:sz w:val="22"/>
        </w:rPr>
      </w:pPr>
      <w:r w:rsidRPr="00C3165F">
        <w:rPr>
          <w:rFonts w:ascii="Calibri" w:hAnsi="Calibri" w:cs="Calibri"/>
          <w:sz w:val="22"/>
        </w:rPr>
        <w:t>The comparison between the retrospective (n=116, 55.3</w:t>
      </w:r>
      <w:r w:rsidR="00324F98">
        <w:rPr>
          <w:rFonts w:ascii="Calibri" w:hAnsi="Calibri" w:cs="Calibri"/>
          <w:sz w:val="22"/>
        </w:rPr>
        <w:t>±12.6 µm) and prospective (n=124, 56.1</w:t>
      </w:r>
      <w:r w:rsidRPr="00C3165F">
        <w:rPr>
          <w:rFonts w:ascii="Calibri" w:hAnsi="Calibri" w:cs="Calibri"/>
          <w:sz w:val="22"/>
        </w:rPr>
        <w:t>±14.5 µm) groups shows no significant difference (n.s.) in overall hair diameter measurements.</w:t>
      </w:r>
      <w:r w:rsidRPr="00C3165F">
        <w:rPr>
          <w:rFonts w:ascii="Calibri" w:hAnsi="Calibri" w:cs="Calibri"/>
          <w:sz w:val="22"/>
        </w:rPr>
        <w:br w:type="page"/>
      </w:r>
    </w:p>
    <w:p w14:paraId="1504F0D7" w14:textId="77777777" w:rsidR="00BA7DA9" w:rsidRPr="00BA7DA9" w:rsidRDefault="00CB7680" w:rsidP="00BA7DA9">
      <w:pPr>
        <w:spacing w:line="360" w:lineRule="auto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lastRenderedPageBreak/>
        <w:t>Supplementary f</w:t>
      </w:r>
      <w:r w:rsidR="00BA7DA9" w:rsidRPr="00BA7DA9">
        <w:rPr>
          <w:rFonts w:ascii="Calibri" w:hAnsi="Calibri" w:cs="Calibri"/>
          <w:b/>
          <w:sz w:val="24"/>
        </w:rPr>
        <w:t>igure 2. Standardized measurement of hair diameter at specified height from scalp</w:t>
      </w:r>
    </w:p>
    <w:p w14:paraId="7998337B" w14:textId="77777777" w:rsidR="00BA7DA9" w:rsidRPr="00BA7DA9" w:rsidRDefault="00BA7DA9" w:rsidP="00BA7DA9">
      <w:pPr>
        <w:spacing w:line="360" w:lineRule="auto"/>
        <w:rPr>
          <w:rFonts w:ascii="Calibri" w:hAnsi="Calibri" w:cs="Calibri"/>
          <w:b/>
          <w:sz w:val="24"/>
        </w:rPr>
      </w:pPr>
      <w:r w:rsidRPr="00BA7DA9">
        <w:rPr>
          <w:rFonts w:ascii="Calibri" w:hAnsi="Calibri" w:cs="Calibri"/>
          <w:noProof/>
        </w:rPr>
        <w:drawing>
          <wp:inline distT="0" distB="0" distL="0" distR="0" wp14:anchorId="7E6E8EF1" wp14:editId="726EA4C4">
            <wp:extent cx="5731510" cy="2582854"/>
            <wp:effectExtent l="0" t="0" r="2540" b="8255"/>
            <wp:docPr id="79370705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070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EB8B" w14:textId="1F9754B2" w:rsidR="00154E3A" w:rsidRDefault="00BA7DA9" w:rsidP="00BA7DA9">
      <w:pPr>
        <w:spacing w:line="360" w:lineRule="auto"/>
        <w:rPr>
          <w:rFonts w:ascii="Calibri" w:hAnsi="Calibri" w:cs="Calibri"/>
          <w:sz w:val="22"/>
        </w:rPr>
      </w:pPr>
      <w:r w:rsidRPr="00C3165F">
        <w:rPr>
          <w:rFonts w:ascii="Calibri" w:hAnsi="Calibri" w:cs="Calibri"/>
          <w:sz w:val="22"/>
        </w:rPr>
        <w:t>Measurement of hair thickness using telogen hair shafts from healthy donors, (a) a young female with long hair and (b) a young male with short hair, highlights that from 350-450 µm above the scalp up to the mid-shaft, the hair maintains its thickness before tapering towards the end due to wear.</w:t>
      </w:r>
    </w:p>
    <w:p w14:paraId="4D7E129D" w14:textId="1A5FBEC6" w:rsidR="00154E3A" w:rsidRDefault="00154E3A" w:rsidP="00154E3A">
      <w:pPr>
        <w:widowControl/>
        <w:wordWrap/>
        <w:autoSpaceDE/>
        <w:autoSpaceDN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14:paraId="789CF3DD" w14:textId="0B69023A" w:rsidR="00154E3A" w:rsidRPr="00634AD1" w:rsidRDefault="00154E3A" w:rsidP="00BA7DA9">
      <w:pPr>
        <w:spacing w:line="360" w:lineRule="auto"/>
        <w:rPr>
          <w:rFonts w:ascii="Calibri" w:hAnsi="Calibri" w:cs="Calibri"/>
          <w:b/>
          <w:sz w:val="24"/>
        </w:rPr>
      </w:pPr>
      <w:r w:rsidRPr="00634AD1">
        <w:rPr>
          <w:rFonts w:ascii="Calibri" w:hAnsi="Calibri" w:cs="Calibri"/>
          <w:b/>
          <w:sz w:val="24"/>
        </w:rPr>
        <w:lastRenderedPageBreak/>
        <w:t>Supplementary figure 3. ROC curves for different hair diameter thresholds at 30</w:t>
      </w:r>
      <w:r w:rsidR="00160205">
        <w:rPr>
          <w:rFonts w:ascii="Calibri" w:hAnsi="Calibri" w:cs="Calibri"/>
          <w:b/>
          <w:sz w:val="24"/>
        </w:rPr>
        <w:t xml:space="preserve"> </w:t>
      </w:r>
      <w:r w:rsidRPr="00634AD1">
        <w:rPr>
          <w:rFonts w:ascii="Calibri" w:hAnsi="Calibri" w:cs="Calibri"/>
          <w:b/>
          <w:sz w:val="24"/>
        </w:rPr>
        <w:t>µm, 40</w:t>
      </w:r>
      <w:r w:rsidR="00160205">
        <w:rPr>
          <w:rFonts w:ascii="Calibri" w:hAnsi="Calibri" w:cs="Calibri"/>
          <w:b/>
          <w:sz w:val="24"/>
        </w:rPr>
        <w:t xml:space="preserve"> </w:t>
      </w:r>
      <w:r w:rsidRPr="00634AD1">
        <w:rPr>
          <w:rFonts w:ascii="Calibri" w:hAnsi="Calibri" w:cs="Calibri"/>
          <w:b/>
          <w:sz w:val="24"/>
        </w:rPr>
        <w:t>µm, 45</w:t>
      </w:r>
      <w:r w:rsidR="00160205">
        <w:rPr>
          <w:rFonts w:ascii="Calibri" w:hAnsi="Calibri" w:cs="Calibri"/>
          <w:b/>
          <w:sz w:val="24"/>
        </w:rPr>
        <w:t xml:space="preserve"> </w:t>
      </w:r>
      <w:r w:rsidRPr="00634AD1">
        <w:rPr>
          <w:rFonts w:ascii="Calibri" w:hAnsi="Calibri" w:cs="Calibri"/>
          <w:b/>
          <w:sz w:val="24"/>
        </w:rPr>
        <w:t>µm, and 50</w:t>
      </w:r>
      <w:r w:rsidR="00160205">
        <w:rPr>
          <w:rFonts w:ascii="Calibri" w:hAnsi="Calibri" w:cs="Calibri"/>
          <w:b/>
          <w:sz w:val="24"/>
        </w:rPr>
        <w:t xml:space="preserve"> </w:t>
      </w:r>
      <w:r w:rsidRPr="00634AD1">
        <w:rPr>
          <w:rFonts w:ascii="Calibri" w:hAnsi="Calibri" w:cs="Calibri"/>
          <w:b/>
          <w:sz w:val="24"/>
        </w:rPr>
        <w:t>µm.</w:t>
      </w:r>
    </w:p>
    <w:p w14:paraId="5FBD8D28" w14:textId="46F04921" w:rsidR="00154E3A" w:rsidRDefault="00282A55" w:rsidP="00BA7DA9">
      <w:pPr>
        <w:spacing w:line="360" w:lineRule="auto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pict w14:anchorId="43F2B710">
          <v:shape id="_x0000_i1026" type="#_x0000_t75" style="width:301.85pt;height:310.15pt">
            <v:imagedata r:id="rId8" o:title="Mendeley supplementary figure 3"/>
          </v:shape>
        </w:pict>
      </w:r>
    </w:p>
    <w:p w14:paraId="14313B2F" w14:textId="1466E79D" w:rsidR="00154E3A" w:rsidRPr="00154E3A" w:rsidRDefault="00154E3A" w:rsidP="00154E3A">
      <w:pPr>
        <w:spacing w:line="360" w:lineRule="auto"/>
        <w:rPr>
          <w:rFonts w:ascii="Calibri" w:hAnsi="Calibri" w:cs="Calibri"/>
          <w:sz w:val="22"/>
        </w:rPr>
      </w:pPr>
      <w:r w:rsidRPr="00154E3A">
        <w:rPr>
          <w:rFonts w:ascii="Calibri" w:hAnsi="Calibri" w:cs="Calibri"/>
          <w:sz w:val="22"/>
        </w:rPr>
        <w:t>The ROC curves illustrate the diagnostic performance of different hair diameter thresholds for AGA, with the 45 µm line showing the highest AUC.</w:t>
      </w:r>
      <w:bookmarkStart w:id="0" w:name="_GoBack"/>
      <w:bookmarkEnd w:id="0"/>
    </w:p>
    <w:sectPr w:rsidR="00154E3A" w:rsidRPr="00154E3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93CF7" w14:textId="77777777" w:rsidR="001263F7" w:rsidRDefault="001263F7" w:rsidP="00C3165F">
      <w:pPr>
        <w:spacing w:after="0" w:line="240" w:lineRule="auto"/>
      </w:pPr>
      <w:r>
        <w:separator/>
      </w:r>
    </w:p>
  </w:endnote>
  <w:endnote w:type="continuationSeparator" w:id="0">
    <w:p w14:paraId="5457D5A0" w14:textId="77777777" w:rsidR="001263F7" w:rsidRDefault="001263F7" w:rsidP="00C31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1139E" w14:textId="77777777" w:rsidR="001263F7" w:rsidRDefault="001263F7" w:rsidP="00C3165F">
      <w:pPr>
        <w:spacing w:after="0" w:line="240" w:lineRule="auto"/>
      </w:pPr>
      <w:r>
        <w:separator/>
      </w:r>
    </w:p>
  </w:footnote>
  <w:footnote w:type="continuationSeparator" w:id="0">
    <w:p w14:paraId="65DA490F" w14:textId="77777777" w:rsidR="001263F7" w:rsidRDefault="001263F7" w:rsidP="00C31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DA9"/>
    <w:rsid w:val="001263F7"/>
    <w:rsid w:val="00154E3A"/>
    <w:rsid w:val="00160205"/>
    <w:rsid w:val="00282A55"/>
    <w:rsid w:val="00313B5E"/>
    <w:rsid w:val="0031672D"/>
    <w:rsid w:val="00324F98"/>
    <w:rsid w:val="00423069"/>
    <w:rsid w:val="004703BC"/>
    <w:rsid w:val="0047493D"/>
    <w:rsid w:val="004832C2"/>
    <w:rsid w:val="004F241A"/>
    <w:rsid w:val="00555A92"/>
    <w:rsid w:val="00592EBD"/>
    <w:rsid w:val="00634AD1"/>
    <w:rsid w:val="00671CF8"/>
    <w:rsid w:val="007F51F4"/>
    <w:rsid w:val="008971BB"/>
    <w:rsid w:val="008E2353"/>
    <w:rsid w:val="009325C2"/>
    <w:rsid w:val="00A41AA0"/>
    <w:rsid w:val="00AC2957"/>
    <w:rsid w:val="00AD53F4"/>
    <w:rsid w:val="00B538C9"/>
    <w:rsid w:val="00BA7DA9"/>
    <w:rsid w:val="00BB0819"/>
    <w:rsid w:val="00C3165F"/>
    <w:rsid w:val="00C33AC4"/>
    <w:rsid w:val="00CB7680"/>
    <w:rsid w:val="00DA25A4"/>
    <w:rsid w:val="00DF5DC7"/>
    <w:rsid w:val="00E3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9E6D3"/>
  <w15:chartTrackingRefBased/>
  <w15:docId w15:val="{53D92057-6C59-4FDF-B4EB-CBF15384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65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3165F"/>
  </w:style>
  <w:style w:type="paragraph" w:styleId="a4">
    <w:name w:val="footer"/>
    <w:basedOn w:val="a"/>
    <w:link w:val="Char0"/>
    <w:uiPriority w:val="99"/>
    <w:unhideWhenUsed/>
    <w:rsid w:val="00C316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31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박희웅 (HeeUng Park)</dc:creator>
  <cp:keywords/>
  <dc:description/>
  <cp:lastModifiedBy>박희웅 (HeeUng Park)</cp:lastModifiedBy>
  <cp:revision>20</cp:revision>
  <dcterms:created xsi:type="dcterms:W3CDTF">2023-11-30T01:55:00Z</dcterms:created>
  <dcterms:modified xsi:type="dcterms:W3CDTF">2023-12-07T00:49:00Z</dcterms:modified>
</cp:coreProperties>
</file>