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DB2C" w14:textId="77777777" w:rsidR="00AE2FE0" w:rsidRDefault="003B5317">
      <w:pPr>
        <w:pStyle w:val="BodyText"/>
        <w:spacing w:before="78"/>
      </w:pPr>
      <w:r>
        <w:t>Complementary</w:t>
      </w:r>
      <w:r>
        <w:rPr>
          <w:spacing w:val="-19"/>
        </w:rPr>
        <w:t xml:space="preserve"> </w:t>
      </w:r>
      <w:r>
        <w:t>Analysis:</w:t>
      </w:r>
      <w:r>
        <w:rPr>
          <w:spacing w:val="-6"/>
        </w:rPr>
        <w:t xml:space="preserve"> </w:t>
      </w:r>
      <w:r>
        <w:t>Rank-Order</w:t>
      </w:r>
      <w:r>
        <w:rPr>
          <w:spacing w:val="-1"/>
        </w:rPr>
        <w:t xml:space="preserve"> </w:t>
      </w:r>
      <w:r>
        <w:t>Consistency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Chelicerate</w:t>
      </w:r>
      <w:r>
        <w:rPr>
          <w:spacing w:val="-3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rPr>
          <w:spacing w:val="-2"/>
        </w:rPr>
        <w:t>Generalization</w:t>
      </w:r>
    </w:p>
    <w:p w14:paraId="54692098" w14:textId="77777777" w:rsidR="00AE2FE0" w:rsidRDefault="00AE2FE0">
      <w:pPr>
        <w:pStyle w:val="BodyText"/>
        <w:ind w:left="0"/>
      </w:pPr>
    </w:p>
    <w:p w14:paraId="6014397D" w14:textId="77777777" w:rsidR="00AE2FE0" w:rsidRDefault="00AE2FE0">
      <w:pPr>
        <w:pStyle w:val="BodyText"/>
        <w:spacing w:before="133"/>
        <w:ind w:left="0"/>
      </w:pPr>
    </w:p>
    <w:p w14:paraId="02EE5B30" w14:textId="77777777" w:rsidR="00AE2FE0" w:rsidRDefault="003B5317">
      <w:pPr>
        <w:pStyle w:val="BodyText"/>
        <w:spacing w:line="276" w:lineRule="auto"/>
        <w:ind w:right="79"/>
        <w:jc w:val="both"/>
      </w:pPr>
      <w:proofErr w:type="spellStart"/>
      <w:r>
        <w:t>Alireza</w:t>
      </w:r>
      <w:proofErr w:type="spellEnd"/>
      <w:r>
        <w:t xml:space="preserve"> </w:t>
      </w:r>
      <w:proofErr w:type="spellStart"/>
      <w:r>
        <w:t>Nikakhtar</w:t>
      </w:r>
      <w:proofErr w:type="spellEnd"/>
      <w:r>
        <w:t xml:space="preserve"> ¹, </w:t>
      </w:r>
      <w:proofErr w:type="spellStart"/>
      <w:r>
        <w:t>Pavol</w:t>
      </w:r>
      <w:proofErr w:type="spellEnd"/>
      <w:r>
        <w:t xml:space="preserve"> Prokop ² ³, Abbas </w:t>
      </w:r>
      <w:proofErr w:type="spellStart"/>
      <w:r>
        <w:t>Zabihzadeh</w:t>
      </w:r>
      <w:proofErr w:type="spellEnd"/>
      <w:r>
        <w:t xml:space="preserve"> ⁴, </w:t>
      </w:r>
      <w:proofErr w:type="spellStart"/>
      <w:r>
        <w:t>Arash</w:t>
      </w:r>
      <w:proofErr w:type="spellEnd"/>
      <w:r>
        <w:t xml:space="preserve"> </w:t>
      </w:r>
      <w:proofErr w:type="spellStart"/>
      <w:r>
        <w:t>Monajem</w:t>
      </w:r>
      <w:proofErr w:type="spellEnd"/>
      <w:r>
        <w:t xml:space="preserve"> ⁵, Mohammad Mahdi </w:t>
      </w:r>
      <w:proofErr w:type="spellStart"/>
      <w:r>
        <w:t>Afshar</w:t>
      </w:r>
      <w:proofErr w:type="spellEnd"/>
      <w:r>
        <w:t xml:space="preserve"> Azad ¹</w:t>
      </w:r>
    </w:p>
    <w:p w14:paraId="0D2CEDB3" w14:textId="77777777" w:rsidR="00AE2FE0" w:rsidRDefault="00AE2FE0">
      <w:pPr>
        <w:pStyle w:val="BodyText"/>
        <w:ind w:left="0"/>
      </w:pPr>
    </w:p>
    <w:p w14:paraId="0FA7946B" w14:textId="77777777" w:rsidR="00AE2FE0" w:rsidRDefault="00AE2FE0">
      <w:pPr>
        <w:pStyle w:val="BodyText"/>
        <w:spacing w:before="90"/>
        <w:ind w:left="0"/>
      </w:pPr>
    </w:p>
    <w:p w14:paraId="2AF593AC" w14:textId="77777777" w:rsidR="00AE2FE0" w:rsidRDefault="003B5317">
      <w:pPr>
        <w:pStyle w:val="BodyText"/>
        <w:spacing w:line="280" w:lineRule="auto"/>
        <w:ind w:right="91"/>
        <w:jc w:val="both"/>
      </w:pPr>
      <w:r>
        <w:t xml:space="preserve">¹ Faculty of Psychology and Educational Sciences, Department of Psychology, </w:t>
      </w:r>
      <w:proofErr w:type="spellStart"/>
      <w:r>
        <w:t>Allameh</w:t>
      </w:r>
      <w:proofErr w:type="spellEnd"/>
      <w:r>
        <w:t xml:space="preserve"> </w:t>
      </w:r>
      <w:proofErr w:type="spellStart"/>
      <w:r>
        <w:t>Tabataba'i</w:t>
      </w:r>
      <w:proofErr w:type="spellEnd"/>
      <w:r>
        <w:t xml:space="preserve"> University, Tehran, Iran </w:t>
      </w:r>
      <w:proofErr w:type="spellStart"/>
      <w:r>
        <w:t>Orcid</w:t>
      </w:r>
      <w:proofErr w:type="spellEnd"/>
      <w:r>
        <w:t>: 0000-0003-2932-3658</w:t>
      </w:r>
    </w:p>
    <w:p w14:paraId="2A2EEAAA" w14:textId="77777777" w:rsidR="00AE2FE0" w:rsidRDefault="003B5317">
      <w:pPr>
        <w:pStyle w:val="BodyText"/>
        <w:spacing w:before="156" w:line="276" w:lineRule="auto"/>
        <w:ind w:right="102"/>
        <w:jc w:val="both"/>
      </w:pPr>
      <w:r>
        <w:t>² Department of Environmental Ecology and Landscape Management, Faculty of Natural Sciences, Comenius University, Bratislava, Slovakia</w:t>
      </w:r>
    </w:p>
    <w:p w14:paraId="64ED4E4A" w14:textId="77777777" w:rsidR="00AE2FE0" w:rsidRDefault="003B5317">
      <w:pPr>
        <w:pStyle w:val="BodyText"/>
        <w:spacing w:before="162"/>
      </w:pPr>
      <w:r>
        <w:t>³</w:t>
      </w:r>
      <w:r>
        <w:rPr>
          <w:spacing w:val="-10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Zoology,</w:t>
      </w:r>
      <w:r>
        <w:rPr>
          <w:spacing w:val="-1"/>
        </w:rPr>
        <w:t xml:space="preserve"> </w:t>
      </w:r>
      <w:r>
        <w:t>Slovak</w:t>
      </w:r>
      <w:r>
        <w:rPr>
          <w:spacing w:val="-13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Sciences,</w:t>
      </w:r>
      <w:r>
        <w:rPr>
          <w:spacing w:val="-2"/>
        </w:rPr>
        <w:t xml:space="preserve"> </w:t>
      </w:r>
      <w:r>
        <w:t>Bratislava,</w:t>
      </w:r>
      <w:r>
        <w:rPr>
          <w:spacing w:val="-1"/>
        </w:rPr>
        <w:t xml:space="preserve"> </w:t>
      </w:r>
      <w:r>
        <w:rPr>
          <w:spacing w:val="-2"/>
        </w:rPr>
        <w:t>Slovakia</w:t>
      </w:r>
    </w:p>
    <w:p w14:paraId="7EE15CDC" w14:textId="77777777" w:rsidR="00AE2FE0" w:rsidRDefault="003B5317">
      <w:pPr>
        <w:pStyle w:val="BodyText"/>
        <w:spacing w:before="205"/>
      </w:pPr>
      <w:r>
        <w:t>⁴</w:t>
      </w:r>
      <w:r>
        <w:rPr>
          <w:spacing w:val="-10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Psychology,</w:t>
      </w:r>
      <w:r>
        <w:rPr>
          <w:spacing w:val="-7"/>
        </w:rPr>
        <w:t xml:space="preserve"> </w:t>
      </w:r>
      <w:proofErr w:type="spellStart"/>
      <w:r>
        <w:t>Shahid</w:t>
      </w:r>
      <w:proofErr w:type="spellEnd"/>
      <w:r>
        <w:rPr>
          <w:spacing w:val="-8"/>
        </w:rPr>
        <w:t xml:space="preserve"> </w:t>
      </w:r>
      <w:proofErr w:type="spellStart"/>
      <w:r>
        <w:t>Beheshti</w:t>
      </w:r>
      <w:proofErr w:type="spellEnd"/>
      <w:r>
        <w:rPr>
          <w:spacing w:val="-15"/>
        </w:rPr>
        <w:t xml:space="preserve"> </w:t>
      </w:r>
      <w:r>
        <w:t>University,</w:t>
      </w:r>
      <w:r>
        <w:rPr>
          <w:spacing w:val="-12"/>
        </w:rPr>
        <w:t xml:space="preserve"> </w:t>
      </w:r>
      <w:r>
        <w:t>Tehran,</w:t>
      </w:r>
      <w:r>
        <w:rPr>
          <w:spacing w:val="-6"/>
        </w:rPr>
        <w:t xml:space="preserve"> </w:t>
      </w:r>
      <w:r>
        <w:rPr>
          <w:spacing w:val="-4"/>
        </w:rPr>
        <w:t>Iran</w:t>
      </w:r>
    </w:p>
    <w:p w14:paraId="26B462B4" w14:textId="77777777" w:rsidR="00AE2FE0" w:rsidRDefault="003B5317">
      <w:pPr>
        <w:pStyle w:val="BodyText"/>
        <w:spacing w:before="204"/>
      </w:pPr>
      <w:r>
        <w:t>⁵</w:t>
      </w:r>
      <w:r>
        <w:rPr>
          <w:spacing w:val="-12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Psychology,</w:t>
      </w:r>
      <w:r>
        <w:rPr>
          <w:spacing w:val="-6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Tehran,</w:t>
      </w:r>
      <w:r>
        <w:rPr>
          <w:spacing w:val="-6"/>
        </w:rPr>
        <w:t xml:space="preserve"> </w:t>
      </w:r>
      <w:r>
        <w:t>Tehran,</w:t>
      </w:r>
      <w:r>
        <w:rPr>
          <w:spacing w:val="-6"/>
        </w:rPr>
        <w:t xml:space="preserve"> </w:t>
      </w:r>
      <w:r>
        <w:rPr>
          <w:spacing w:val="-4"/>
        </w:rPr>
        <w:t>Iran</w:t>
      </w:r>
    </w:p>
    <w:p w14:paraId="713B53C0" w14:textId="77777777" w:rsidR="00AE2FE0" w:rsidRDefault="00AE2FE0">
      <w:pPr>
        <w:pStyle w:val="BodyText"/>
        <w:ind w:left="0"/>
      </w:pPr>
    </w:p>
    <w:p w14:paraId="0C08EE14" w14:textId="77777777" w:rsidR="00AE2FE0" w:rsidRDefault="00AE2FE0">
      <w:pPr>
        <w:pStyle w:val="BodyText"/>
        <w:spacing w:before="132"/>
        <w:ind w:left="0"/>
      </w:pPr>
    </w:p>
    <w:p w14:paraId="4DA23C5F" w14:textId="77777777" w:rsidR="00AE2FE0" w:rsidRDefault="003B5317">
      <w:pPr>
        <w:pStyle w:val="BodyText"/>
        <w:spacing w:line="280" w:lineRule="auto"/>
        <w:ind w:right="83"/>
        <w:jc w:val="both"/>
      </w:pPr>
      <w:r>
        <w:t>© 2024</w:t>
      </w:r>
      <w:r>
        <w:rPr>
          <w:spacing w:val="-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Authors.</w:t>
      </w:r>
      <w:r>
        <w:rPr>
          <w:spacing w:val="-2"/>
        </w:rPr>
        <w:t xml:space="preserve"> </w:t>
      </w:r>
      <w:r>
        <w:t>Published by</w:t>
      </w:r>
      <w:r>
        <w:rPr>
          <w:spacing w:val="-8"/>
        </w:rPr>
        <w:t xml:space="preserve"> </w:t>
      </w:r>
      <w:r>
        <w:t>Elsevier Ltd.</w:t>
      </w:r>
      <w:r>
        <w:rPr>
          <w:spacing w:val="-10"/>
        </w:rPr>
        <w:t xml:space="preserve"> </w:t>
      </w:r>
      <w:r>
        <w:t>This 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open-access</w:t>
      </w:r>
      <w:r>
        <w:rPr>
          <w:spacing w:val="-2"/>
        </w:rPr>
        <w:t xml:space="preserve"> </w:t>
      </w:r>
      <w:r>
        <w:t>article under</w:t>
      </w:r>
      <w:r>
        <w:rPr>
          <w:spacing w:val="-2"/>
        </w:rPr>
        <w:t xml:space="preserve"> </w:t>
      </w:r>
      <w:r>
        <w:t>the CC</w:t>
      </w:r>
      <w:r>
        <w:rPr>
          <w:spacing w:val="-1"/>
        </w:rPr>
        <w:t xml:space="preserve"> </w:t>
      </w:r>
      <w:r>
        <w:t>BY-NC-ND license (</w:t>
      </w:r>
      <w:hyperlink r:id="rId4">
        <w:r>
          <w:t>http://creativecommons.org/licenses/by-nc-nd/4.0/).</w:t>
        </w:r>
      </w:hyperlink>
    </w:p>
    <w:p w14:paraId="63F2F0CF" w14:textId="77777777" w:rsidR="00AE2FE0" w:rsidRDefault="00AE2FE0">
      <w:pPr>
        <w:pStyle w:val="BodyText"/>
        <w:ind w:left="0"/>
      </w:pPr>
    </w:p>
    <w:p w14:paraId="7A0D2F67" w14:textId="77777777" w:rsidR="00AE2FE0" w:rsidRDefault="00AE2FE0">
      <w:pPr>
        <w:pStyle w:val="BodyText"/>
        <w:spacing w:before="84"/>
        <w:ind w:left="0"/>
      </w:pPr>
    </w:p>
    <w:p w14:paraId="66E08C6F" w14:textId="77777777" w:rsidR="00AE2FE0" w:rsidRDefault="003B5317">
      <w:pPr>
        <w:pStyle w:val="BodyText"/>
      </w:pP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3"/>
        </w:rPr>
        <w:t xml:space="preserve"> </w:t>
      </w:r>
      <w:r>
        <w:t>presents</w:t>
      </w:r>
      <w:r>
        <w:rPr>
          <w:spacing w:val="-4"/>
        </w:rPr>
        <w:t xml:space="preserve"> </w:t>
      </w:r>
      <w:r>
        <w:t>complementary</w:t>
      </w:r>
      <w:r>
        <w:rPr>
          <w:spacing w:val="-1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peer-reviewed</w:t>
      </w:r>
      <w:r>
        <w:rPr>
          <w:spacing w:val="3"/>
        </w:rPr>
        <w:t xml:space="preserve"> </w:t>
      </w:r>
      <w:r>
        <w:rPr>
          <w:spacing w:val="-2"/>
        </w:rPr>
        <w:t>manuscript:</w:t>
      </w:r>
    </w:p>
    <w:p w14:paraId="4F786E7E" w14:textId="77777777" w:rsidR="00AE2FE0" w:rsidRDefault="003B5317">
      <w:pPr>
        <w:pStyle w:val="BodyText"/>
        <w:spacing w:before="204" w:line="276" w:lineRule="auto"/>
        <w:ind w:right="85"/>
        <w:jc w:val="both"/>
      </w:pPr>
      <w:r>
        <w:t>From</w:t>
      </w:r>
      <w:r>
        <w:rPr>
          <w:spacing w:val="-15"/>
        </w:rPr>
        <w:t xml:space="preserve"> </w:t>
      </w:r>
      <w:r>
        <w:t>scorpion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spiders:</w:t>
      </w:r>
      <w:r>
        <w:rPr>
          <w:spacing w:val="-9"/>
        </w:rPr>
        <w:t xml:space="preserve"> </w:t>
      </w:r>
      <w:r>
        <w:t>tracing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origin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fear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spiders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chelicerates</w:t>
      </w:r>
      <w:r>
        <w:rPr>
          <w:spacing w:val="-12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perceptual fear generalization gradient across chelicerates</w:t>
      </w:r>
    </w:p>
    <w:p w14:paraId="5A33AE64" w14:textId="77777777" w:rsidR="00AE2FE0" w:rsidRDefault="003B5317">
      <w:pPr>
        <w:pStyle w:val="BodyText"/>
        <w:spacing w:before="163"/>
        <w:ind w:left="150"/>
      </w:pP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Evolution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rPr>
          <w:spacing w:val="-2"/>
        </w:rPr>
        <w:t>Behavior</w:t>
      </w:r>
    </w:p>
    <w:p w14:paraId="0BB60B46" w14:textId="77777777" w:rsidR="00AE2FE0" w:rsidRDefault="003B5317">
      <w:pPr>
        <w:pStyle w:val="BodyText"/>
        <w:spacing w:before="204"/>
      </w:pPr>
      <w:r>
        <w:t>DOI:</w:t>
      </w:r>
      <w:r>
        <w:rPr>
          <w:spacing w:val="1"/>
        </w:rPr>
        <w:t xml:space="preserve"> </w:t>
      </w:r>
      <w:r>
        <w:rPr>
          <w:spacing w:val="-2"/>
        </w:rPr>
        <w:t>https://doi.org/10.1016/j.evolhumbehav.2026.106830</w:t>
      </w:r>
    </w:p>
    <w:p w14:paraId="61DB20D8" w14:textId="77777777" w:rsidR="00AE2FE0" w:rsidRDefault="00AE2FE0">
      <w:pPr>
        <w:pStyle w:val="BodyText"/>
        <w:ind w:left="0"/>
      </w:pPr>
    </w:p>
    <w:p w14:paraId="2E87E2F3" w14:textId="77777777" w:rsidR="00AE2FE0" w:rsidRDefault="00AE2FE0">
      <w:pPr>
        <w:pStyle w:val="BodyText"/>
        <w:spacing w:before="132"/>
        <w:ind w:left="0"/>
      </w:pPr>
    </w:p>
    <w:p w14:paraId="2E1A4E02" w14:textId="77777777" w:rsidR="00AE2FE0" w:rsidRDefault="003B5317">
      <w:pPr>
        <w:pStyle w:val="BodyText"/>
        <w:spacing w:before="1" w:line="276" w:lineRule="auto"/>
        <w:ind w:right="94"/>
        <w:jc w:val="both"/>
      </w:pPr>
      <w:r>
        <w:t>These analyses are supplementary and do not replace or alter the original publication. They provide additional quantitative insight into rank-order patterns described qualitatively in the manuscript.</w:t>
      </w:r>
    </w:p>
    <w:p w14:paraId="422F7260" w14:textId="77777777" w:rsidR="00AE2FE0" w:rsidRDefault="00AE2FE0">
      <w:pPr>
        <w:pStyle w:val="BodyText"/>
        <w:ind w:left="0"/>
      </w:pPr>
    </w:p>
    <w:p w14:paraId="3143A9F0" w14:textId="77777777" w:rsidR="00AE2FE0" w:rsidRDefault="00AE2FE0">
      <w:pPr>
        <w:pStyle w:val="BodyText"/>
        <w:spacing w:before="90"/>
        <w:ind w:left="0"/>
      </w:pPr>
    </w:p>
    <w:p w14:paraId="0BDB2698" w14:textId="77777777" w:rsidR="00AE2FE0" w:rsidRDefault="003B5317">
      <w:pPr>
        <w:pStyle w:val="BodyText"/>
        <w:spacing w:line="278" w:lineRule="auto"/>
        <w:ind w:right="91"/>
        <w:jc w:val="both"/>
      </w:pPr>
      <w:r>
        <w:t>In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peer-reviewed</w:t>
      </w:r>
      <w:r>
        <w:rPr>
          <w:spacing w:val="-14"/>
        </w:rPr>
        <w:t xml:space="preserve"> </w:t>
      </w:r>
      <w:r>
        <w:t>paper,</w:t>
      </w:r>
      <w:r>
        <w:rPr>
          <w:spacing w:val="-9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hypothesized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scorpions</w:t>
      </w:r>
      <w:r>
        <w:rPr>
          <w:spacing w:val="-13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perceptual</w:t>
      </w:r>
      <w:r>
        <w:rPr>
          <w:spacing w:val="-15"/>
        </w:rPr>
        <w:t xml:space="preserve"> </w:t>
      </w:r>
      <w:r>
        <w:t>anchor</w:t>
      </w:r>
      <w:r>
        <w:rPr>
          <w:spacing w:val="-4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fear generalizes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 chelicerates. If</w:t>
      </w:r>
      <w:r>
        <w:rPr>
          <w:spacing w:val="-9"/>
        </w:rPr>
        <w:t xml:space="preserve"> </w:t>
      </w:r>
      <w:r>
        <w:t>true, fear responses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decline systematically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decreasing morphological similarity to scorpions.</w:t>
      </w:r>
    </w:p>
    <w:p w14:paraId="716456DA" w14:textId="77777777" w:rsidR="00AE2FE0" w:rsidRDefault="003B5317">
      <w:pPr>
        <w:pStyle w:val="BodyText"/>
        <w:spacing w:before="158" w:line="278" w:lineRule="auto"/>
        <w:ind w:right="83"/>
        <w:jc w:val="both"/>
      </w:pP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task,</w:t>
      </w:r>
      <w:r>
        <w:rPr>
          <w:spacing w:val="-9"/>
        </w:rPr>
        <w:t xml:space="preserve"> </w:t>
      </w:r>
      <w:r>
        <w:t>participants</w:t>
      </w:r>
      <w:r>
        <w:rPr>
          <w:spacing w:val="-13"/>
        </w:rPr>
        <w:t xml:space="preserve"> </w:t>
      </w:r>
      <w:r>
        <w:t>viewed</w:t>
      </w:r>
      <w:r>
        <w:rPr>
          <w:spacing w:val="-11"/>
        </w:rPr>
        <w:t xml:space="preserve"> </w:t>
      </w:r>
      <w:r>
        <w:t>eight</w:t>
      </w:r>
      <w:r>
        <w:rPr>
          <w:spacing w:val="-6"/>
        </w:rPr>
        <w:t xml:space="preserve"> </w:t>
      </w:r>
      <w:r>
        <w:t>chelicerate</w:t>
      </w:r>
      <w:r>
        <w:rPr>
          <w:spacing w:val="-12"/>
        </w:rPr>
        <w:t xml:space="preserve"> </w:t>
      </w:r>
      <w:r>
        <w:t>taxa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fear</w:t>
      </w:r>
      <w:r>
        <w:rPr>
          <w:spacing w:val="-9"/>
        </w:rPr>
        <w:t xml:space="preserve"> </w:t>
      </w:r>
      <w:r>
        <w:t>ratings</w:t>
      </w:r>
      <w:r>
        <w:rPr>
          <w:spacing w:val="-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</w:t>
      </w:r>
      <w:r>
        <w:t xml:space="preserve"> as relative similarity judgments to both scorpions and spiders. The fear ranking was as follows: scorpion,</w:t>
      </w:r>
      <w:r>
        <w:rPr>
          <w:spacing w:val="-15"/>
        </w:rPr>
        <w:t xml:space="preserve"> </w:t>
      </w:r>
      <w:proofErr w:type="spellStart"/>
      <w:r>
        <w:t>pseudoscorpion</w:t>
      </w:r>
      <w:proofErr w:type="spellEnd"/>
      <w:r>
        <w:t>,</w:t>
      </w:r>
      <w:r>
        <w:rPr>
          <w:spacing w:val="-15"/>
        </w:rPr>
        <w:t xml:space="preserve"> </w:t>
      </w:r>
      <w:r>
        <w:t>whip</w:t>
      </w:r>
      <w:r>
        <w:rPr>
          <w:spacing w:val="-15"/>
        </w:rPr>
        <w:t xml:space="preserve"> </w:t>
      </w:r>
      <w:r>
        <w:t>scorpion,</w:t>
      </w:r>
      <w:r>
        <w:rPr>
          <w:spacing w:val="-15"/>
        </w:rPr>
        <w:t xml:space="preserve"> </w:t>
      </w:r>
      <w:r>
        <w:t>spider,</w:t>
      </w:r>
      <w:r>
        <w:rPr>
          <w:spacing w:val="-15"/>
        </w:rPr>
        <w:t xml:space="preserve"> </w:t>
      </w:r>
      <w:r>
        <w:t>camel</w:t>
      </w:r>
      <w:r>
        <w:rPr>
          <w:spacing w:val="-15"/>
        </w:rPr>
        <w:t xml:space="preserve"> </w:t>
      </w:r>
      <w:r>
        <w:t>spider,</w:t>
      </w:r>
      <w:r>
        <w:rPr>
          <w:spacing w:val="-15"/>
        </w:rPr>
        <w:t xml:space="preserve"> </w:t>
      </w:r>
      <w:r>
        <w:t>tailless</w:t>
      </w:r>
      <w:r>
        <w:rPr>
          <w:spacing w:val="-15"/>
        </w:rPr>
        <w:t xml:space="preserve"> </w:t>
      </w:r>
      <w:r>
        <w:t>whip</w:t>
      </w:r>
      <w:r>
        <w:rPr>
          <w:spacing w:val="-15"/>
        </w:rPr>
        <w:t xml:space="preserve"> </w:t>
      </w:r>
      <w:r>
        <w:t>scorpion,</w:t>
      </w:r>
      <w:r>
        <w:rPr>
          <w:spacing w:val="-15"/>
        </w:rPr>
        <w:t xml:space="preserve"> </w:t>
      </w:r>
      <w:r>
        <w:t>harvestman,</w:t>
      </w:r>
      <w:r>
        <w:rPr>
          <w:spacing w:val="-15"/>
        </w:rPr>
        <w:t xml:space="preserve"> </w:t>
      </w:r>
      <w:r>
        <w:t>and sea spider. Relative similarity to the scorpion (</w:t>
      </w:r>
      <w:proofErr w:type="spellStart"/>
      <w:r>
        <w:t>pseudoscorpion</w:t>
      </w:r>
      <w:proofErr w:type="spellEnd"/>
      <w:r>
        <w:t>, whip scorpion, camel spider, spider, tailless whip scorpion, harvestman, and</w:t>
      </w:r>
      <w:r>
        <w:rPr>
          <w:spacing w:val="17"/>
        </w:rPr>
        <w:t xml:space="preserve"> </w:t>
      </w:r>
      <w:r>
        <w:t>sea spider) broadly corresponded to this fear ordering, with</w:t>
      </w:r>
    </w:p>
    <w:p w14:paraId="3164EDE5" w14:textId="77777777" w:rsidR="00AE2FE0" w:rsidRDefault="00AE2FE0">
      <w:pPr>
        <w:pStyle w:val="BodyText"/>
        <w:spacing w:line="278" w:lineRule="auto"/>
        <w:jc w:val="both"/>
        <w:sectPr w:rsidR="00AE2FE0">
          <w:type w:val="continuous"/>
          <w:pgSz w:w="11910" w:h="16840"/>
          <w:pgMar w:top="1340" w:right="992" w:bottom="280" w:left="992" w:header="720" w:footer="720" w:gutter="0"/>
          <w:cols w:space="720"/>
        </w:sectPr>
      </w:pPr>
    </w:p>
    <w:p w14:paraId="0807380C" w14:textId="77777777" w:rsidR="00AE2FE0" w:rsidRDefault="003B5317">
      <w:pPr>
        <w:pStyle w:val="BodyText"/>
        <w:spacing w:before="78" w:line="278" w:lineRule="auto"/>
        <w:ind w:right="85"/>
        <w:jc w:val="both"/>
      </w:pPr>
      <w:r>
        <w:t xml:space="preserve">minor misalignment observed primarily for the spider and the camel spider. In contrast, relative similarity to the spider (tailless whip scorpion, harvestman, camel spider, sea spider, whip scorpion, </w:t>
      </w:r>
      <w:proofErr w:type="spellStart"/>
      <w:r>
        <w:t>pseudoscorpion</w:t>
      </w:r>
      <w:proofErr w:type="spellEnd"/>
      <w:r>
        <w:t>, and scorpion) diverged substantially from the observed fear rankings. The correspondence was described qualitatively in the original manuscript by visual inspection. Here, a quantified descriptive index for rank alignment is reported.</w:t>
      </w:r>
    </w:p>
    <w:p w14:paraId="17FDCD46" w14:textId="77777777" w:rsidR="00AE2FE0" w:rsidRDefault="003B5317">
      <w:pPr>
        <w:pStyle w:val="BodyText"/>
        <w:spacing w:before="157" w:line="278" w:lineRule="auto"/>
        <w:ind w:right="74"/>
        <w:jc w:val="both"/>
      </w:pPr>
      <w:r>
        <w:t>To address this, we applied a Mean Rank Deviation (MRD) analysis to quantify the degree of rank-order correspondence between similarity judgments and fear ratings. MRD measures the average absolute</w:t>
      </w:r>
      <w:r>
        <w:rPr>
          <w:spacing w:val="-15"/>
        </w:rPr>
        <w:t xml:space="preserve"> </w:t>
      </w:r>
      <w:r>
        <w:t>difference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fear</w:t>
      </w:r>
      <w:r>
        <w:rPr>
          <w:spacing w:val="-15"/>
        </w:rPr>
        <w:t xml:space="preserve"> </w:t>
      </w:r>
      <w:r>
        <w:t>ranks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ranks</w:t>
      </w:r>
      <w:r>
        <w:rPr>
          <w:spacing w:val="-15"/>
        </w:rPr>
        <w:t xml:space="preserve"> </w:t>
      </w:r>
      <w:r>
        <w:t>(MRD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proofErr w:type="spellStart"/>
      <w:r>
        <w:t>Σ|R_fear</w:t>
      </w:r>
      <w:proofErr w:type="spellEnd"/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proofErr w:type="spellStart"/>
      <w:r>
        <w:t>R_similarity</w:t>
      </w:r>
      <w:proofErr w:type="spellEnd"/>
      <w:r>
        <w:t>|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n,</w:t>
      </w:r>
      <w:r>
        <w:rPr>
          <w:spacing w:val="-15"/>
        </w:rPr>
        <w:t xml:space="preserve"> </w:t>
      </w:r>
      <w:r>
        <w:t>where R denotes rank positions). Normalized MRD values, which are deviations from perfect alignment, were</w:t>
      </w:r>
      <w:r>
        <w:rPr>
          <w:spacing w:val="-8"/>
        </w:rPr>
        <w:t xml:space="preserve"> </w:t>
      </w:r>
      <w:r>
        <w:t>computed</w:t>
      </w:r>
      <w:r>
        <w:rPr>
          <w:spacing w:val="-7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dividing</w:t>
      </w:r>
      <w:r>
        <w:rPr>
          <w:spacing w:val="-5"/>
        </w:rPr>
        <w:t xml:space="preserve"> </w:t>
      </w:r>
      <w:r>
        <w:t>MRD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mean</w:t>
      </w:r>
      <w:r>
        <w:rPr>
          <w:spacing w:val="-12"/>
        </w:rPr>
        <w:t xml:space="preserve"> </w:t>
      </w:r>
      <w:r>
        <w:t>rank</w:t>
      </w:r>
      <w:r>
        <w:rPr>
          <w:spacing w:val="-7"/>
        </w:rPr>
        <w:t xml:space="preserve"> </w:t>
      </w:r>
      <w:r>
        <w:t>deviation</w:t>
      </w:r>
      <w:r>
        <w:rPr>
          <w:spacing w:val="-1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rank</w:t>
      </w:r>
      <w:r>
        <w:t xml:space="preserve"> reversal (</w:t>
      </w:r>
      <w:proofErr w:type="spellStart"/>
      <w:r>
        <w:t>MRD_max</w:t>
      </w:r>
      <w:proofErr w:type="spellEnd"/>
      <w:r>
        <w:t xml:space="preserve"> = 4.0 for n=8, where n is the number of chelicerate taxa compared). While fear generalization research typically employs regression and ANOVA to test for trends, rank-order consistency metrics provide complementary insight. They directly quantify how fear rankings align with similarity rankings.</w:t>
      </w:r>
    </w:p>
    <w:p w14:paraId="7EB8B0A5" w14:textId="77777777" w:rsidR="00AE2FE0" w:rsidRDefault="003B5317">
      <w:pPr>
        <w:pStyle w:val="BodyText"/>
        <w:spacing w:before="158" w:line="278" w:lineRule="auto"/>
        <w:ind w:right="85"/>
        <w:jc w:val="both"/>
      </w:pPr>
      <w:r>
        <w:t>The</w:t>
      </w:r>
      <w:r>
        <w:rPr>
          <w:spacing w:val="-15"/>
        </w:rPr>
        <w:t xml:space="preserve"> </w:t>
      </w:r>
      <w:r>
        <w:t>analyses</w:t>
      </w:r>
      <w:r>
        <w:rPr>
          <w:spacing w:val="-15"/>
        </w:rPr>
        <w:t xml:space="preserve"> </w:t>
      </w:r>
      <w:r>
        <w:t>revealed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near-perfect</w:t>
      </w:r>
      <w:r>
        <w:rPr>
          <w:spacing w:val="-15"/>
        </w:rPr>
        <w:t xml:space="preserve"> </w:t>
      </w:r>
      <w:r>
        <w:t>alignment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chelicerates’</w:t>
      </w:r>
      <w:r>
        <w:rPr>
          <w:spacing w:val="-15"/>
        </w:rPr>
        <w:t xml:space="preserve"> </w:t>
      </w:r>
      <w:r>
        <w:t>relative</w:t>
      </w:r>
      <w:r>
        <w:rPr>
          <w:spacing w:val="-15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scorpion</w:t>
      </w:r>
      <w:r>
        <w:t xml:space="preserve"> and fear ratings (MRD = 0.25; normalized = 6.25%). In contrast, relative similarity to the spider exhibited</w:t>
      </w:r>
      <w:r>
        <w:rPr>
          <w:spacing w:val="-8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almost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mismatch</w:t>
      </w:r>
      <w:r>
        <w:rPr>
          <w:spacing w:val="-1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fear</w:t>
      </w:r>
      <w:r>
        <w:rPr>
          <w:spacing w:val="-6"/>
        </w:rPr>
        <w:t xml:space="preserve"> </w:t>
      </w:r>
      <w:r>
        <w:t>rankings</w:t>
      </w:r>
      <w:r>
        <w:rPr>
          <w:spacing w:val="-10"/>
        </w:rPr>
        <w:t xml:space="preserve"> </w:t>
      </w:r>
      <w:r>
        <w:t>(MRD</w:t>
      </w:r>
      <w:r>
        <w:rPr>
          <w:spacing w:val="-8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3.75;</w:t>
      </w:r>
      <w:r>
        <w:rPr>
          <w:spacing w:val="-12"/>
        </w:rPr>
        <w:t xml:space="preserve"> </w:t>
      </w:r>
      <w:r>
        <w:t>normalized</w:t>
      </w:r>
      <w:r>
        <w:rPr>
          <w:spacing w:val="-8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93.8%).</w:t>
      </w:r>
      <w:r>
        <w:rPr>
          <w:spacing w:val="-15"/>
        </w:rPr>
        <w:t xml:space="preserve"> </w:t>
      </w:r>
      <w:r>
        <w:t>These findings indicate a clear gradient-like pattern for scorpion similarity, but not for spider similarity.</w:t>
      </w:r>
    </w:p>
    <w:p w14:paraId="0E5DAF51" w14:textId="77777777" w:rsidR="00AE2FE0" w:rsidRDefault="003B5317">
      <w:pPr>
        <w:pStyle w:val="BodyText"/>
        <w:spacing w:before="160" w:line="278" w:lineRule="auto"/>
        <w:ind w:right="87"/>
        <w:jc w:val="both"/>
      </w:pPr>
      <w:r>
        <w:t xml:space="preserve">We repeated the same procedure for absolute similarity ratings obtained from a different set of Chelicerate species. Fear rankings in this task were as follows: scorpion, spider, camel spider, </w:t>
      </w:r>
      <w:proofErr w:type="spellStart"/>
      <w:r>
        <w:t>pseudoscorpion</w:t>
      </w:r>
      <w:proofErr w:type="spellEnd"/>
      <w:r>
        <w:t>,</w:t>
      </w:r>
      <w:r>
        <w:rPr>
          <w:spacing w:val="-15"/>
        </w:rPr>
        <w:t xml:space="preserve"> </w:t>
      </w:r>
      <w:r>
        <w:t>harvestman,</w:t>
      </w:r>
      <w:r>
        <w:rPr>
          <w:spacing w:val="-15"/>
        </w:rPr>
        <w:t xml:space="preserve"> </w:t>
      </w:r>
      <w:r>
        <w:t>whip</w:t>
      </w:r>
      <w:r>
        <w:rPr>
          <w:spacing w:val="-15"/>
        </w:rPr>
        <w:t xml:space="preserve"> </w:t>
      </w:r>
      <w:r>
        <w:t>scorpion,</w:t>
      </w:r>
      <w:r>
        <w:rPr>
          <w:spacing w:val="-15"/>
        </w:rPr>
        <w:t xml:space="preserve"> </w:t>
      </w:r>
      <w:r>
        <w:t>tailless</w:t>
      </w:r>
      <w:r>
        <w:rPr>
          <w:spacing w:val="-15"/>
        </w:rPr>
        <w:t xml:space="preserve"> </w:t>
      </w:r>
      <w:r>
        <w:t>whip</w:t>
      </w:r>
      <w:r>
        <w:rPr>
          <w:spacing w:val="-15"/>
        </w:rPr>
        <w:t xml:space="preserve"> </w:t>
      </w:r>
      <w:r>
        <w:t>scorpion,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sea</w:t>
      </w:r>
      <w:r>
        <w:rPr>
          <w:spacing w:val="-15"/>
        </w:rPr>
        <w:t xml:space="preserve"> </w:t>
      </w:r>
      <w:r>
        <w:t>spider.</w:t>
      </w:r>
      <w:r>
        <w:rPr>
          <w:spacing w:val="-15"/>
        </w:rPr>
        <w:t xml:space="preserve"> </w:t>
      </w:r>
      <w:r>
        <w:t>Absolute</w:t>
      </w:r>
      <w:r>
        <w:rPr>
          <w:spacing w:val="-15"/>
        </w:rPr>
        <w:t xml:space="preserve"> </w:t>
      </w:r>
      <w:r>
        <w:t xml:space="preserve">similarity to the scorpion showed a more irregular ordering than relative similarity: camel spider, </w:t>
      </w:r>
      <w:proofErr w:type="spellStart"/>
      <w:r>
        <w:t>pseudoscorpion</w:t>
      </w:r>
      <w:proofErr w:type="spellEnd"/>
      <w:r>
        <w:t>, whip scorpion, harvestman, spider, tailless whip scorpion, and sea spider. The corresponding MRD indicated a modest fear gradient (MRD = 1.0; normalized = 25%). The MRD analyses suggested that the relationship between absolute similarity to the spider and fear ratings reflects a weak</w:t>
      </w:r>
      <w:r>
        <w:rPr>
          <w:spacing w:val="-2"/>
        </w:rPr>
        <w:t xml:space="preserve"> </w:t>
      </w:r>
      <w:r>
        <w:t>and inconsistent tr</w:t>
      </w:r>
      <w:r>
        <w:t>end (MRD =</w:t>
      </w:r>
      <w:r>
        <w:rPr>
          <w:spacing w:val="-3"/>
        </w:rPr>
        <w:t xml:space="preserve"> </w:t>
      </w:r>
      <w:r>
        <w:t>2.375;</w:t>
      </w:r>
      <w:r>
        <w:rPr>
          <w:spacing w:val="-2"/>
        </w:rPr>
        <w:t xml:space="preserve"> </w:t>
      </w:r>
      <w:r>
        <w:t>normalized = 59.4%).</w:t>
      </w:r>
      <w:r>
        <w:rPr>
          <w:spacing w:val="-8"/>
        </w:rPr>
        <w:t xml:space="preserve"> </w:t>
      </w:r>
      <w:r>
        <w:t>The 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relative similarity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harvestman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camel</w:t>
      </w:r>
      <w:r>
        <w:rPr>
          <w:spacing w:val="-11"/>
        </w:rPr>
        <w:t xml:space="preserve"> </w:t>
      </w:r>
      <w:r>
        <w:t>spider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spider,</w:t>
      </w:r>
      <w:r>
        <w:rPr>
          <w:spacing w:val="-5"/>
        </w:rPr>
        <w:t xml:space="preserve"> </w:t>
      </w:r>
      <w:r>
        <w:t>absolute</w:t>
      </w:r>
      <w:r>
        <w:rPr>
          <w:spacing w:val="-8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camel</w:t>
      </w:r>
      <w:r>
        <w:rPr>
          <w:spacing w:val="-11"/>
        </w:rPr>
        <w:t xml:space="preserve"> </w:t>
      </w:r>
      <w:r>
        <w:t>spider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tailless whip scorpion to the spider, and absolute similarity of harvestman and spider to the scorpion were considered equal.</w:t>
      </w:r>
    </w:p>
    <w:p w14:paraId="1CBCF587" w14:textId="5616E863" w:rsidR="00107C9A" w:rsidRDefault="003B5317" w:rsidP="00107C9A">
      <w:pPr>
        <w:pStyle w:val="BodyText"/>
        <w:spacing w:before="157" w:line="278" w:lineRule="auto"/>
        <w:ind w:right="84"/>
        <w:jc w:val="both"/>
      </w:pPr>
      <w:r>
        <w:t>The</w:t>
      </w:r>
      <w:r>
        <w:rPr>
          <w:spacing w:val="-13"/>
        </w:rPr>
        <w:t xml:space="preserve"> </w:t>
      </w:r>
      <w:r>
        <w:t>fact</w:t>
      </w:r>
      <w:r>
        <w:rPr>
          <w:spacing w:val="-7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spider</w:t>
      </w:r>
      <w:r>
        <w:rPr>
          <w:spacing w:val="-10"/>
        </w:rPr>
        <w:t xml:space="preserve"> </w:t>
      </w:r>
      <w:r>
        <w:t>ranked</w:t>
      </w:r>
      <w:r>
        <w:rPr>
          <w:spacing w:val="-12"/>
        </w:rPr>
        <w:t xml:space="preserve"> </w:t>
      </w:r>
      <w:r>
        <w:t>5th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absolute</w:t>
      </w:r>
      <w:r>
        <w:rPr>
          <w:spacing w:val="-13"/>
        </w:rPr>
        <w:t xml:space="preserve"> </w:t>
      </w:r>
      <w:r>
        <w:t>similarity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scorpion</w:t>
      </w:r>
      <w:r>
        <w:rPr>
          <w:spacing w:val="-12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2nd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fear</w:t>
      </w:r>
      <w:r>
        <w:rPr>
          <w:spacing w:val="-10"/>
        </w:rPr>
        <w:t xml:space="preserve"> </w:t>
      </w:r>
      <w:r>
        <w:t>ratings</w:t>
      </w:r>
      <w:r>
        <w:rPr>
          <w:spacing w:val="-14"/>
        </w:rPr>
        <w:t xml:space="preserve"> </w:t>
      </w:r>
      <w:r>
        <w:t>suggests that spider fear may not be exclusively a generalization of scorpion fear. However, although not definitive,</w:t>
      </w:r>
      <w:r>
        <w:rPr>
          <w:spacing w:val="-9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suggest</w:t>
      </w:r>
      <w:r>
        <w:rPr>
          <w:spacing w:val="-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discrepancy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unlikely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explained</w:t>
      </w:r>
      <w:r>
        <w:rPr>
          <w:spacing w:val="-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spider-specific</w:t>
      </w:r>
      <w:r>
        <w:rPr>
          <w:spacing w:val="-2"/>
        </w:rPr>
        <w:t xml:space="preserve"> </w:t>
      </w:r>
      <w:r>
        <w:t>fear mechanism, given the insignificant or weak spider-gradient results in our other measures. A more plausible scenario is</w:t>
      </w:r>
      <w:r>
        <w:rPr>
          <w:spacing w:val="-1"/>
        </w:rPr>
        <w:t xml:space="preserve"> </w:t>
      </w:r>
      <w:r>
        <w:t>that the particular spider selected 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task,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Australian funnel-web</w:t>
      </w:r>
      <w:r>
        <w:rPr>
          <w:spacing w:val="-3"/>
        </w:rPr>
        <w:t xml:space="preserve"> </w:t>
      </w:r>
      <w:r>
        <w:t>spider, with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robust</w:t>
      </w:r>
      <w:r>
        <w:rPr>
          <w:spacing w:val="-11"/>
        </w:rPr>
        <w:t xml:space="preserve"> </w:t>
      </w:r>
      <w:r>
        <w:t>build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prominent</w:t>
      </w:r>
      <w:r>
        <w:rPr>
          <w:spacing w:val="-9"/>
        </w:rPr>
        <w:t xml:space="preserve"> </w:t>
      </w:r>
      <w:r>
        <w:t>chelicerae,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likely</w:t>
      </w:r>
      <w:r>
        <w:rPr>
          <w:spacing w:val="-14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frightening</w:t>
      </w:r>
      <w:r>
        <w:rPr>
          <w:spacing w:val="-14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average</w:t>
      </w:r>
      <w:r>
        <w:rPr>
          <w:spacing w:val="-15"/>
        </w:rPr>
        <w:t xml:space="preserve"> </w:t>
      </w:r>
      <w:r>
        <w:t>spider,</w:t>
      </w:r>
      <w:r>
        <w:rPr>
          <w:spacing w:val="-12"/>
        </w:rPr>
        <w:t xml:space="preserve"> </w:t>
      </w:r>
      <w:r>
        <w:t>which rendered spider fear an outlier in the scorpion-based generalization pattern.</w:t>
      </w:r>
      <w:r w:rsidR="00107C9A">
        <w:t xml:space="preserve">             </w:t>
      </w:r>
    </w:p>
    <w:p w14:paraId="18240FAA" w14:textId="5920FF61" w:rsidR="00107C9A" w:rsidRDefault="00107C9A" w:rsidP="00107C9A">
      <w:pPr>
        <w:pStyle w:val="BodyText"/>
        <w:spacing w:before="157" w:line="278" w:lineRule="auto"/>
        <w:ind w:right="84"/>
        <w:jc w:val="both"/>
      </w:pPr>
      <w:r>
        <w:t xml:space="preserve">In another confirmatory analysis we applied Goodman and </w:t>
      </w:r>
      <w:proofErr w:type="spellStart"/>
      <w:r>
        <w:t>Kruskal</w:t>
      </w:r>
      <w:r>
        <w:rPr>
          <w:rFonts w:hint="eastAsia"/>
        </w:rPr>
        <w:t>’</w:t>
      </w:r>
      <w:r>
        <w:t>s</w:t>
      </w:r>
      <w:proofErr w:type="spellEnd"/>
      <w:r>
        <w:t xml:space="preserve"> Gamma, which evaluates ordinal rank consistency between variables. Because a similarity gradient requires higher similarity to be associated with higher fear (i.e., if Similarity₁ &gt; Similarity₂ then Fear₁ ≥ Fear₂), Gamma provides a direct test of the monotonic ordering expected under a gradient account.</w:t>
      </w:r>
    </w:p>
    <w:p w14:paraId="3A79BB82" w14:textId="77777777" w:rsidR="00107C9A" w:rsidRDefault="00107C9A" w:rsidP="00107C9A">
      <w:pPr>
        <w:pStyle w:val="BodyText"/>
        <w:spacing w:before="157" w:line="278" w:lineRule="auto"/>
        <w:ind w:right="84"/>
        <w:jc w:val="both"/>
      </w:pPr>
      <w:r>
        <w:t>For the relative similarity task, chelicerates</w:t>
      </w:r>
      <w:r>
        <w:rPr>
          <w:rFonts w:hint="eastAsia"/>
        </w:rPr>
        <w:t>’</w:t>
      </w:r>
      <w:r>
        <w:t xml:space="preserve"> similarity to the scorpion showed a very strong monotonic association with fear ratings (</w:t>
      </w:r>
      <w:r>
        <w:rPr>
          <w:rFonts w:hint="eastAsia"/>
        </w:rPr>
        <w:t>γ</w:t>
      </w:r>
      <w:r>
        <w:t xml:space="preserve"> = 0.929, p &lt; 0.001). In contrast, similarity to the spider showed a weak negative association that was not statistically significant (</w:t>
      </w:r>
      <w:r>
        <w:rPr>
          <w:rFonts w:hint="eastAsia"/>
        </w:rPr>
        <w:t>γ</w:t>
      </w:r>
      <w:r>
        <w:t xml:space="preserve"> = −0.407, p = 0.21), indicating no reliable ordinal consistency between spider similarity and fear.</w:t>
      </w:r>
    </w:p>
    <w:p w14:paraId="6B1B4064" w14:textId="77777777" w:rsidR="00107C9A" w:rsidRDefault="00107C9A" w:rsidP="00107C9A">
      <w:pPr>
        <w:pStyle w:val="BodyText"/>
        <w:spacing w:before="157" w:line="278" w:lineRule="auto"/>
        <w:ind w:right="84"/>
        <w:jc w:val="both"/>
      </w:pPr>
      <w:r>
        <w:t>For the absolute similarity task, the association was positive and statistically significant for scorpions (</w:t>
      </w:r>
      <w:r>
        <w:rPr>
          <w:rFonts w:hint="eastAsia"/>
        </w:rPr>
        <w:t>γ</w:t>
      </w:r>
      <w:r>
        <w:t xml:space="preserve"> = 0.704, p = 0.026) but small and non‑significant for spiders (</w:t>
      </w:r>
      <w:r>
        <w:rPr>
          <w:rFonts w:hint="eastAsia"/>
        </w:rPr>
        <w:t>γ</w:t>
      </w:r>
      <w:r>
        <w:t xml:space="preserve"> = 0.111, p = 0.80). </w:t>
      </w:r>
    </w:p>
    <w:p w14:paraId="0F823830" w14:textId="77777777" w:rsidR="00107C9A" w:rsidRDefault="00107C9A" w:rsidP="00107C9A">
      <w:pPr>
        <w:pStyle w:val="BodyText"/>
        <w:spacing w:before="157" w:line="278" w:lineRule="auto"/>
        <w:ind w:right="84"/>
        <w:jc w:val="both"/>
      </w:pPr>
      <w:r>
        <w:t>Importantly, this pattern remained when chelicerates were pooled with insects, where the spider‑similarity association remained non‑significant.</w:t>
      </w:r>
    </w:p>
    <w:p w14:paraId="2791FF62" w14:textId="29C6DE96" w:rsidR="00AE2FE0" w:rsidRDefault="00107C9A">
      <w:pPr>
        <w:pStyle w:val="BodyText"/>
        <w:spacing w:before="154" w:line="278" w:lineRule="auto"/>
        <w:ind w:right="85"/>
        <w:jc w:val="both"/>
      </w:pPr>
      <w:r>
        <w:t>Taken together, these analyses provide further evidence for the fact that fear responses across Chelicerates follow a similarity‑based gradient anchored on scorpions</w:t>
      </w:r>
      <w:r w:rsidR="003B5317">
        <w:t>, further supporting the results provided in the original manuscript.</w:t>
      </w:r>
    </w:p>
    <w:p w14:paraId="023EA50D" w14:textId="77777777" w:rsidR="00AE2FE0" w:rsidRDefault="00AE2FE0">
      <w:pPr>
        <w:pStyle w:val="BodyText"/>
        <w:spacing w:line="278" w:lineRule="auto"/>
        <w:jc w:val="both"/>
      </w:pPr>
    </w:p>
    <w:p w14:paraId="26FF1451" w14:textId="77777777" w:rsidR="00D55573" w:rsidRDefault="00D55573">
      <w:pPr>
        <w:pStyle w:val="BodyText"/>
        <w:spacing w:line="278" w:lineRule="auto"/>
        <w:jc w:val="both"/>
        <w:sectPr w:rsidR="00D55573">
          <w:pgSz w:w="11910" w:h="16840"/>
          <w:pgMar w:top="1340" w:right="992" w:bottom="280" w:left="992" w:header="720" w:footer="720" w:gutter="0"/>
          <w:cols w:space="720"/>
        </w:sectPr>
      </w:pPr>
    </w:p>
    <w:p w14:paraId="22BB265E" w14:textId="77777777" w:rsidR="00AE2FE0" w:rsidRDefault="003B5317">
      <w:pPr>
        <w:pStyle w:val="BodyText"/>
        <w:spacing w:before="78"/>
      </w:pPr>
      <w:r>
        <w:rPr>
          <w:spacing w:val="-2"/>
        </w:rPr>
        <w:t>Ethics</w:t>
      </w:r>
    </w:p>
    <w:p w14:paraId="00BBADCF" w14:textId="77777777" w:rsidR="00AE2FE0" w:rsidRDefault="003B5317">
      <w:pPr>
        <w:pStyle w:val="BodyText"/>
        <w:spacing w:before="204" w:line="278" w:lineRule="auto"/>
        <w:ind w:right="87"/>
        <w:jc w:val="both"/>
      </w:pPr>
      <w:r>
        <w:t>All participants provided written informed consent before participation. The study</w:t>
      </w:r>
      <w:r>
        <w:rPr>
          <w:spacing w:val="-1"/>
        </w:rPr>
        <w:t xml:space="preserve"> </w:t>
      </w:r>
      <w:r>
        <w:t>was conducted in accordance with the principles outlined in the Declaration of Helsinki. This research was ethically approved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Psychology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proofErr w:type="spellStart"/>
      <w:r>
        <w:t>Shahid</w:t>
      </w:r>
      <w:proofErr w:type="spellEnd"/>
      <w:r>
        <w:rPr>
          <w:spacing w:val="-15"/>
        </w:rPr>
        <w:t xml:space="preserve"> </w:t>
      </w:r>
      <w:proofErr w:type="spellStart"/>
      <w:r>
        <w:t>Beheshti</w:t>
      </w:r>
      <w:proofErr w:type="spellEnd"/>
      <w:r>
        <w:rPr>
          <w:spacing w:val="-15"/>
        </w:rPr>
        <w:t xml:space="preserve"> </w:t>
      </w:r>
      <w:r>
        <w:t>University.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participants</w:t>
      </w:r>
      <w:r>
        <w:rPr>
          <w:spacing w:val="-15"/>
        </w:rPr>
        <w:t xml:space="preserve"> </w:t>
      </w:r>
      <w:r>
        <w:t>volunteered to</w:t>
      </w:r>
      <w:r>
        <w:rPr>
          <w:spacing w:val="-4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that it would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images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spiders,</w:t>
      </w:r>
      <w:r>
        <w:rPr>
          <w:spacing w:val="-6"/>
        </w:rPr>
        <w:t xml:space="preserve"> </w:t>
      </w:r>
      <w:r>
        <w:t>scorpions,</w:t>
      </w:r>
      <w:r>
        <w:rPr>
          <w:spacing w:val="-6"/>
        </w:rPr>
        <w:t xml:space="preserve"> </w:t>
      </w:r>
      <w:r>
        <w:t>and other arthropods, which could be disturbing for sensitive individuals.</w:t>
      </w:r>
    </w:p>
    <w:p w14:paraId="3B078084" w14:textId="77777777" w:rsidR="00AE2FE0" w:rsidRDefault="00AE2FE0">
      <w:pPr>
        <w:pStyle w:val="BodyText"/>
        <w:ind w:left="0"/>
      </w:pPr>
    </w:p>
    <w:p w14:paraId="29DA2923" w14:textId="77777777" w:rsidR="00AE2FE0" w:rsidRDefault="00AE2FE0">
      <w:pPr>
        <w:pStyle w:val="BodyText"/>
        <w:spacing w:before="85"/>
        <w:ind w:left="0"/>
      </w:pPr>
    </w:p>
    <w:p w14:paraId="3168F936" w14:textId="77777777" w:rsidR="00AE2FE0" w:rsidRDefault="003B5317">
      <w:pPr>
        <w:pStyle w:val="BodyText"/>
        <w:spacing w:before="1"/>
      </w:pPr>
      <w:r>
        <w:rPr>
          <w:spacing w:val="-2"/>
        </w:rPr>
        <w:t>Funding</w:t>
      </w:r>
    </w:p>
    <w:p w14:paraId="232D49C3" w14:textId="77777777" w:rsidR="00AE2FE0" w:rsidRDefault="003B5317">
      <w:pPr>
        <w:pStyle w:val="BodyText"/>
        <w:spacing w:before="204" w:line="280" w:lineRule="auto"/>
        <w:ind w:right="92"/>
        <w:jc w:val="both"/>
      </w:pP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supported</w:t>
      </w:r>
      <w:r>
        <w:rPr>
          <w:spacing w:val="-11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EU</w:t>
      </w:r>
      <w:r>
        <w:rPr>
          <w:spacing w:val="-6"/>
        </w:rPr>
        <w:t xml:space="preserve"> </w:t>
      </w:r>
      <w:proofErr w:type="spellStart"/>
      <w:r>
        <w:t>NextGenerationEU</w:t>
      </w:r>
      <w:proofErr w:type="spellEnd"/>
      <w:r>
        <w:rPr>
          <w:spacing w:val="-6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Recovery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Resilience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 Slovakia under the project no. 09I01–03-V05-00001.</w:t>
      </w:r>
    </w:p>
    <w:p w14:paraId="1B7379B6" w14:textId="77777777" w:rsidR="00AE2FE0" w:rsidRDefault="00AE2FE0">
      <w:pPr>
        <w:pStyle w:val="BodyText"/>
        <w:ind w:left="0"/>
      </w:pPr>
    </w:p>
    <w:p w14:paraId="3810F39D" w14:textId="77777777" w:rsidR="00AE2FE0" w:rsidRDefault="00AE2FE0">
      <w:pPr>
        <w:pStyle w:val="BodyText"/>
        <w:spacing w:before="84"/>
        <w:ind w:left="0"/>
      </w:pPr>
    </w:p>
    <w:p w14:paraId="7D5EA639" w14:textId="77777777" w:rsidR="00AE2FE0" w:rsidRDefault="003B5317">
      <w:pPr>
        <w:pStyle w:val="BodyText"/>
      </w:pPr>
      <w:r>
        <w:t>Declaration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Competing </w:t>
      </w:r>
      <w:r>
        <w:rPr>
          <w:spacing w:val="-2"/>
        </w:rPr>
        <w:t>Interest</w:t>
      </w:r>
    </w:p>
    <w:p w14:paraId="331BD0E5" w14:textId="77777777" w:rsidR="00AE2FE0" w:rsidRDefault="003B5317">
      <w:pPr>
        <w:pStyle w:val="BodyText"/>
        <w:spacing w:before="204"/>
      </w:pPr>
      <w:r>
        <w:t>The</w:t>
      </w:r>
      <w:r>
        <w:rPr>
          <w:spacing w:val="-3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declare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interest.</w:t>
      </w:r>
    </w:p>
    <w:p w14:paraId="4D29A227" w14:textId="77777777" w:rsidR="00AE2FE0" w:rsidRDefault="00AE2FE0">
      <w:pPr>
        <w:pStyle w:val="BodyText"/>
        <w:ind w:left="0"/>
      </w:pPr>
    </w:p>
    <w:p w14:paraId="513E9E83" w14:textId="77777777" w:rsidR="00AE2FE0" w:rsidRDefault="00AE2FE0">
      <w:pPr>
        <w:pStyle w:val="BodyText"/>
        <w:spacing w:before="128"/>
        <w:ind w:left="0"/>
      </w:pPr>
    </w:p>
    <w:p w14:paraId="6A53FA74" w14:textId="77777777" w:rsidR="00AE2FE0" w:rsidRDefault="003B5317">
      <w:pPr>
        <w:pStyle w:val="BodyText"/>
      </w:pPr>
      <w:r>
        <w:rPr>
          <w:spacing w:val="-2"/>
        </w:rPr>
        <w:t>Acknowledgements</w:t>
      </w:r>
    </w:p>
    <w:p w14:paraId="32BC1F70" w14:textId="77777777" w:rsidR="00AE2FE0" w:rsidRDefault="003B5317">
      <w:pPr>
        <w:pStyle w:val="BodyText"/>
        <w:spacing w:before="204"/>
      </w:pPr>
      <w:r>
        <w:t>We</w:t>
      </w:r>
      <w:r>
        <w:rPr>
          <w:spacing w:val="-10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anonymous</w:t>
      </w:r>
      <w:r>
        <w:rPr>
          <w:spacing w:val="-9"/>
        </w:rPr>
        <w:t xml:space="preserve"> </w:t>
      </w:r>
      <w:r>
        <w:t>referees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insightful</w:t>
      </w:r>
      <w:r>
        <w:rPr>
          <w:spacing w:val="-10"/>
        </w:rPr>
        <w:t xml:space="preserve"> </w:t>
      </w:r>
      <w:r>
        <w:rPr>
          <w:spacing w:val="-2"/>
        </w:rPr>
        <w:t>comments.</w:t>
      </w:r>
    </w:p>
    <w:p w14:paraId="760EE9B8" w14:textId="77777777" w:rsidR="00AE2FE0" w:rsidRDefault="00AE2FE0">
      <w:pPr>
        <w:pStyle w:val="BodyText"/>
        <w:ind w:left="0"/>
      </w:pPr>
    </w:p>
    <w:p w14:paraId="35293679" w14:textId="77777777" w:rsidR="00AE2FE0" w:rsidRDefault="00AE2FE0">
      <w:pPr>
        <w:pStyle w:val="BodyText"/>
        <w:spacing w:before="132"/>
        <w:ind w:left="0"/>
      </w:pPr>
    </w:p>
    <w:p w14:paraId="091B98C0" w14:textId="77777777" w:rsidR="00AE2FE0" w:rsidRDefault="003B5317">
      <w:pPr>
        <w:pStyle w:val="BodyText"/>
      </w:pPr>
      <w:r>
        <w:t>Data</w:t>
      </w:r>
      <w:r>
        <w:rPr>
          <w:spacing w:val="-10"/>
        </w:rPr>
        <w:t xml:space="preserve"> </w:t>
      </w:r>
      <w:r>
        <w:rPr>
          <w:spacing w:val="-2"/>
        </w:rPr>
        <w:t>Availability</w:t>
      </w:r>
    </w:p>
    <w:p w14:paraId="02BFBA99" w14:textId="77777777" w:rsidR="00AE2FE0" w:rsidRDefault="003B5317">
      <w:pPr>
        <w:pStyle w:val="BodyText"/>
        <w:spacing w:before="204" w:line="280" w:lineRule="auto"/>
        <w:ind w:right="82"/>
        <w:jc w:val="both"/>
      </w:pPr>
      <w:r>
        <w:t xml:space="preserve">The data associated with this research are available at the repository of </w:t>
      </w:r>
      <w:proofErr w:type="spellStart"/>
      <w:r>
        <w:t>Mendeley</w:t>
      </w:r>
      <w:proofErr w:type="spellEnd"/>
      <w:r>
        <w:t xml:space="preserve"> Data. DOI: </w:t>
      </w:r>
      <w:r>
        <w:rPr>
          <w:spacing w:val="-2"/>
        </w:rPr>
        <w:t>10.17632/syvjrn83bn.1</w:t>
      </w:r>
    </w:p>
    <w:sectPr w:rsidR="00AE2FE0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FE0"/>
    <w:rsid w:val="00107C9A"/>
    <w:rsid w:val="003B5317"/>
    <w:rsid w:val="003F7A02"/>
    <w:rsid w:val="006748AB"/>
    <w:rsid w:val="00AE2FE0"/>
    <w:rsid w:val="00D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DF678"/>
  <w15:docId w15:val="{9A9203A2-E2C9-F442-A945-A90098A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creativecommons.org/licenses/by-nc-nd/4.0/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alireza nikakhtar</cp:lastModifiedBy>
  <cp:revision>2</cp:revision>
  <dcterms:created xsi:type="dcterms:W3CDTF">2026-03-23T00:35:00Z</dcterms:created>
  <dcterms:modified xsi:type="dcterms:W3CDTF">2026-03-23T00:35:00Z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